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3A7" w:rsidRDefault="00B543A7" w:rsidP="00D63D97">
      <w:pPr>
        <w:spacing w:after="0" w:line="240" w:lineRule="auto"/>
        <w:rPr>
          <w:rFonts w:ascii="Helvetica" w:eastAsia="Times New Roman" w:hAnsi="Helvetica" w:cs="Helvetica"/>
          <w:b/>
          <w:bCs/>
          <w:color w:val="747577"/>
          <w:sz w:val="23"/>
          <w:szCs w:val="23"/>
          <w:shd w:val="clear" w:color="auto" w:fill="FFFFFF"/>
          <w:lang w:eastAsia="hr-HR"/>
        </w:rPr>
      </w:pPr>
      <w:bookmarkStart w:id="0" w:name="_GoBack"/>
      <w:bookmarkEnd w:id="0"/>
      <w:r>
        <w:rPr>
          <w:rFonts w:ascii="Helvetica" w:eastAsia="Times New Roman" w:hAnsi="Helvetica" w:cs="Helvetica"/>
          <w:b/>
          <w:bCs/>
          <w:color w:val="747577"/>
          <w:sz w:val="23"/>
          <w:szCs w:val="23"/>
          <w:shd w:val="clear" w:color="auto" w:fill="FFFFFF"/>
          <w:lang w:eastAsia="hr-HR"/>
        </w:rPr>
        <w:t>PRAVO PREDNOSTI PRI UPISU</w:t>
      </w:r>
    </w:p>
    <w:p w:rsidR="00B543A7" w:rsidRDefault="00B543A7" w:rsidP="00D63D97">
      <w:pPr>
        <w:spacing w:after="0" w:line="240" w:lineRule="auto"/>
        <w:rPr>
          <w:rFonts w:ascii="Helvetica" w:eastAsia="Times New Roman" w:hAnsi="Helvetica" w:cs="Helvetica"/>
          <w:b/>
          <w:bCs/>
          <w:color w:val="747577"/>
          <w:sz w:val="23"/>
          <w:szCs w:val="23"/>
          <w:shd w:val="clear" w:color="auto" w:fill="FFFFFF"/>
          <w:lang w:eastAsia="hr-HR"/>
        </w:rPr>
      </w:pPr>
    </w:p>
    <w:p w:rsidR="00D63D97" w:rsidRPr="00D63D97" w:rsidRDefault="00D63D97" w:rsidP="00D63D97">
      <w:pPr>
        <w:spacing w:after="0" w:line="240" w:lineRule="auto"/>
        <w:rPr>
          <w:rFonts w:ascii="Times New Roman" w:eastAsia="Times New Roman" w:hAnsi="Times New Roman" w:cs="Times New Roman"/>
          <w:sz w:val="24"/>
          <w:szCs w:val="24"/>
          <w:lang w:eastAsia="hr-HR"/>
        </w:rPr>
      </w:pPr>
      <w:r w:rsidRPr="00D63D97">
        <w:rPr>
          <w:rFonts w:ascii="Helvetica" w:eastAsia="Times New Roman" w:hAnsi="Helvetica" w:cs="Helvetica"/>
          <w:b/>
          <w:bCs/>
          <w:color w:val="747577"/>
          <w:sz w:val="23"/>
          <w:szCs w:val="23"/>
          <w:shd w:val="clear" w:color="auto" w:fill="FFFFFF"/>
          <w:lang w:eastAsia="hr-HR"/>
        </w:rPr>
        <w:t>Kandidati koji žele koristiti pravo prednosti, obvezni su položiti sve ispite državne mature, dodatne provjere i prijeći bodovni prag tamo gdje je postavljen.</w:t>
      </w:r>
      <w:r w:rsidRPr="00D63D97">
        <w:rPr>
          <w:rFonts w:ascii="Helvetica" w:eastAsia="Times New Roman" w:hAnsi="Helvetica" w:cs="Helvetica"/>
          <w:color w:val="747577"/>
          <w:sz w:val="23"/>
          <w:szCs w:val="23"/>
          <w:shd w:val="clear" w:color="auto" w:fill="FFFFFF"/>
          <w:lang w:eastAsia="hr-HR"/>
        </w:rPr>
        <w:t> </w:t>
      </w:r>
      <w:r w:rsidRPr="00D63D97">
        <w:rPr>
          <w:rFonts w:ascii="Helvetica" w:eastAsia="Times New Roman" w:hAnsi="Helvetica" w:cs="Helvetica"/>
          <w:color w:val="747577"/>
          <w:sz w:val="23"/>
          <w:szCs w:val="23"/>
          <w:lang w:eastAsia="hr-HR"/>
        </w:rPr>
        <w:br/>
      </w:r>
      <w:r w:rsidRPr="00D63D97">
        <w:rPr>
          <w:rFonts w:ascii="Helvetica" w:eastAsia="Times New Roman" w:hAnsi="Helvetica" w:cs="Helvetica"/>
          <w:color w:val="747577"/>
          <w:sz w:val="23"/>
          <w:szCs w:val="23"/>
          <w:lang w:eastAsia="hr-HR"/>
        </w:rPr>
        <w:br/>
      </w:r>
      <w:r w:rsidRPr="00D63D97">
        <w:rPr>
          <w:rFonts w:ascii="Helvetica" w:eastAsia="Times New Roman" w:hAnsi="Helvetica" w:cs="Helvetica"/>
          <w:color w:val="747577"/>
          <w:sz w:val="23"/>
          <w:szCs w:val="23"/>
          <w:shd w:val="clear" w:color="auto" w:fill="FFFFFF"/>
          <w:lang w:eastAsia="hr-HR"/>
        </w:rPr>
        <w:t>U skladu sa Sporazumom o poticajnim mjerama za upis u ustanove visokog obrazovanja za hrvatske branitelje, hrvatske ratne vojne invalide iz Domovinskog rata te djecu smrtno stradalih, zatočenih ili nestalih hrvatskih branitelja i djecu stopostotnih hrvatskih ratnih vojnih invalida iz Domovinskog rata, koji su sklopili Ministarstvo znanosti, obrazovanja i sporta, </w:t>
      </w:r>
      <w:r w:rsidRPr="00D63D97">
        <w:rPr>
          <w:rFonts w:ascii="Helvetica" w:eastAsia="Times New Roman" w:hAnsi="Helvetica" w:cs="Helvetica"/>
          <w:b/>
          <w:bCs/>
          <w:color w:val="747577"/>
          <w:sz w:val="23"/>
          <w:szCs w:val="23"/>
          <w:shd w:val="clear" w:color="auto" w:fill="FFFFFF"/>
          <w:lang w:eastAsia="hr-HR"/>
        </w:rPr>
        <w:t>Ministarstvo obitelji, branitelja i međugeneracijske solidarnosti i Rektorski zbor</w:t>
      </w:r>
      <w:r w:rsidRPr="00D63D97">
        <w:rPr>
          <w:rFonts w:ascii="Helvetica" w:eastAsia="Times New Roman" w:hAnsi="Helvetica" w:cs="Helvetica"/>
          <w:color w:val="747577"/>
          <w:sz w:val="23"/>
          <w:szCs w:val="23"/>
          <w:shd w:val="clear" w:color="auto" w:fill="FFFFFF"/>
          <w:lang w:eastAsia="hr-HR"/>
        </w:rPr>
        <w:t>, pravo prednosti pri upisu na pojedina visoka učilišta, pod uvjetom da prijeđu razredbeni prag, imaju: </w:t>
      </w:r>
      <w:r w:rsidRPr="00D63D97">
        <w:rPr>
          <w:rFonts w:ascii="Helvetica" w:eastAsia="Times New Roman" w:hAnsi="Helvetica" w:cs="Helvetica"/>
          <w:color w:val="747577"/>
          <w:sz w:val="23"/>
          <w:szCs w:val="23"/>
          <w:lang w:eastAsia="hr-HR"/>
        </w:rPr>
        <w:br/>
      </w:r>
    </w:p>
    <w:tbl>
      <w:tblPr>
        <w:tblW w:w="8100" w:type="dxa"/>
        <w:tblCellSpacing w:w="15" w:type="dxa"/>
        <w:tblBorders>
          <w:top w:val="single" w:sz="6" w:space="0" w:color="B7CC15"/>
          <w:left w:val="single" w:sz="6" w:space="0" w:color="B7CC15"/>
          <w:bottom w:val="single" w:sz="6" w:space="0" w:color="B7CC15"/>
          <w:right w:val="single" w:sz="6" w:space="0" w:color="B7CC15"/>
        </w:tblBorders>
        <w:shd w:val="clear" w:color="auto" w:fill="FFFFFF"/>
        <w:tblCellMar>
          <w:top w:w="75" w:type="dxa"/>
          <w:left w:w="75" w:type="dxa"/>
          <w:bottom w:w="75" w:type="dxa"/>
          <w:right w:w="75" w:type="dxa"/>
        </w:tblCellMar>
        <w:tblLook w:val="04A0" w:firstRow="1" w:lastRow="0" w:firstColumn="1" w:lastColumn="0" w:noHBand="0" w:noVBand="1"/>
      </w:tblPr>
      <w:tblGrid>
        <w:gridCol w:w="8100"/>
      </w:tblGrid>
      <w:tr w:rsidR="00D63D97" w:rsidRPr="00D63D97" w:rsidTr="00D63D97">
        <w:trPr>
          <w:tblCellSpacing w:w="15" w:type="dxa"/>
        </w:trPr>
        <w:tc>
          <w:tcPr>
            <w:tcW w:w="0" w:type="auto"/>
            <w:tcBorders>
              <w:top w:val="nil"/>
              <w:left w:val="nil"/>
            </w:tcBorders>
            <w:shd w:val="clear" w:color="auto" w:fill="FFFFFF"/>
            <w:tcMar>
              <w:top w:w="0" w:type="dxa"/>
              <w:left w:w="0" w:type="dxa"/>
              <w:bottom w:w="0" w:type="dxa"/>
              <w:right w:w="0" w:type="dxa"/>
            </w:tcMar>
            <w:vAlign w:val="center"/>
            <w:hideMark/>
          </w:tcPr>
          <w:p w:rsidR="00D63D97" w:rsidRPr="00D63D97" w:rsidRDefault="00D63D97" w:rsidP="00D63D97">
            <w:pPr>
              <w:spacing w:after="0" w:line="321" w:lineRule="atLeast"/>
              <w:rPr>
                <w:rFonts w:ascii="Helvetica" w:eastAsia="Times New Roman" w:hAnsi="Helvetica" w:cs="Helvetica"/>
                <w:color w:val="747577"/>
                <w:sz w:val="21"/>
                <w:szCs w:val="21"/>
                <w:lang w:eastAsia="hr-HR"/>
              </w:rPr>
            </w:pPr>
            <w:r w:rsidRPr="00D63D97">
              <w:rPr>
                <w:rFonts w:ascii="Helvetica" w:eastAsia="Times New Roman" w:hAnsi="Helvetica" w:cs="Helvetica"/>
                <w:color w:val="747577"/>
                <w:sz w:val="21"/>
                <w:szCs w:val="21"/>
                <w:lang w:eastAsia="hr-HR"/>
              </w:rPr>
              <w:t>1. </w:t>
            </w:r>
            <w:r w:rsidRPr="00D63D97">
              <w:rPr>
                <w:rFonts w:ascii="Helvetica" w:eastAsia="Times New Roman" w:hAnsi="Helvetica" w:cs="Helvetica"/>
                <w:b/>
                <w:bCs/>
                <w:color w:val="747577"/>
                <w:sz w:val="21"/>
                <w:szCs w:val="21"/>
                <w:lang w:eastAsia="hr-HR"/>
              </w:rPr>
              <w:t>hrvatski branitelji</w:t>
            </w:r>
            <w:r w:rsidRPr="00D63D97">
              <w:rPr>
                <w:rFonts w:ascii="Helvetica" w:eastAsia="Times New Roman" w:hAnsi="Helvetica" w:cs="Helvetica"/>
                <w:color w:val="747577"/>
                <w:sz w:val="21"/>
                <w:szCs w:val="21"/>
                <w:lang w:eastAsia="hr-HR"/>
              </w:rPr>
              <w:t> iz Domovinskoga rata</w:t>
            </w:r>
          </w:p>
        </w:tc>
      </w:tr>
      <w:tr w:rsidR="00D63D97" w:rsidRPr="00D63D97" w:rsidTr="00D63D97">
        <w:trPr>
          <w:tblCellSpacing w:w="15" w:type="dxa"/>
        </w:trPr>
        <w:tc>
          <w:tcPr>
            <w:tcW w:w="0" w:type="auto"/>
            <w:tcBorders>
              <w:top w:val="nil"/>
              <w:left w:val="nil"/>
            </w:tcBorders>
            <w:shd w:val="clear" w:color="auto" w:fill="FFFFFF"/>
            <w:tcMar>
              <w:top w:w="0" w:type="dxa"/>
              <w:left w:w="0" w:type="dxa"/>
              <w:bottom w:w="0" w:type="dxa"/>
              <w:right w:w="0" w:type="dxa"/>
            </w:tcMar>
            <w:vAlign w:val="center"/>
            <w:hideMark/>
          </w:tcPr>
          <w:p w:rsidR="00D63D97" w:rsidRPr="00D63D97" w:rsidRDefault="00D63D97" w:rsidP="00D63D97">
            <w:pPr>
              <w:spacing w:after="0" w:line="321" w:lineRule="atLeast"/>
              <w:rPr>
                <w:rFonts w:ascii="Helvetica" w:eastAsia="Times New Roman" w:hAnsi="Helvetica" w:cs="Helvetica"/>
                <w:color w:val="747577"/>
                <w:sz w:val="21"/>
                <w:szCs w:val="21"/>
                <w:lang w:eastAsia="hr-HR"/>
              </w:rPr>
            </w:pPr>
            <w:r w:rsidRPr="00D63D97">
              <w:rPr>
                <w:rFonts w:ascii="Helvetica" w:eastAsia="Times New Roman" w:hAnsi="Helvetica" w:cs="Helvetica"/>
                <w:color w:val="747577"/>
                <w:sz w:val="21"/>
                <w:szCs w:val="21"/>
                <w:lang w:eastAsia="hr-HR"/>
              </w:rPr>
              <w:t>2. </w:t>
            </w:r>
            <w:r w:rsidRPr="00D63D97">
              <w:rPr>
                <w:rFonts w:ascii="Helvetica" w:eastAsia="Times New Roman" w:hAnsi="Helvetica" w:cs="Helvetica"/>
                <w:b/>
                <w:bCs/>
                <w:color w:val="747577"/>
                <w:sz w:val="21"/>
                <w:szCs w:val="21"/>
                <w:lang w:eastAsia="hr-HR"/>
              </w:rPr>
              <w:t>hrvatski ratni vojni invalidi</w:t>
            </w:r>
            <w:r w:rsidRPr="00D63D97">
              <w:rPr>
                <w:rFonts w:ascii="Helvetica" w:eastAsia="Times New Roman" w:hAnsi="Helvetica" w:cs="Helvetica"/>
                <w:color w:val="747577"/>
                <w:sz w:val="21"/>
                <w:szCs w:val="21"/>
                <w:lang w:eastAsia="hr-HR"/>
              </w:rPr>
              <w:t> iz Domovinskoga rata</w:t>
            </w:r>
          </w:p>
        </w:tc>
      </w:tr>
      <w:tr w:rsidR="00D63D97" w:rsidRPr="00D63D97" w:rsidTr="00D63D97">
        <w:trPr>
          <w:tblCellSpacing w:w="15" w:type="dxa"/>
        </w:trPr>
        <w:tc>
          <w:tcPr>
            <w:tcW w:w="0" w:type="auto"/>
            <w:tcBorders>
              <w:top w:val="nil"/>
              <w:left w:val="nil"/>
            </w:tcBorders>
            <w:shd w:val="clear" w:color="auto" w:fill="FFFFFF"/>
            <w:tcMar>
              <w:top w:w="0" w:type="dxa"/>
              <w:left w:w="0" w:type="dxa"/>
              <w:bottom w:w="0" w:type="dxa"/>
              <w:right w:w="0" w:type="dxa"/>
            </w:tcMar>
            <w:vAlign w:val="center"/>
            <w:hideMark/>
          </w:tcPr>
          <w:p w:rsidR="00D63D97" w:rsidRPr="00D63D97" w:rsidRDefault="00D63D97" w:rsidP="00D63D97">
            <w:pPr>
              <w:spacing w:after="0" w:line="321" w:lineRule="atLeast"/>
              <w:rPr>
                <w:rFonts w:ascii="Helvetica" w:eastAsia="Times New Roman" w:hAnsi="Helvetica" w:cs="Helvetica"/>
                <w:color w:val="747577"/>
                <w:sz w:val="21"/>
                <w:szCs w:val="21"/>
                <w:lang w:eastAsia="hr-HR"/>
              </w:rPr>
            </w:pPr>
            <w:r w:rsidRPr="00D63D97">
              <w:rPr>
                <w:rFonts w:ascii="Helvetica" w:eastAsia="Times New Roman" w:hAnsi="Helvetica" w:cs="Helvetica"/>
                <w:color w:val="747577"/>
                <w:sz w:val="21"/>
                <w:szCs w:val="21"/>
                <w:lang w:eastAsia="hr-HR"/>
              </w:rPr>
              <w:t>3. </w:t>
            </w:r>
            <w:r w:rsidRPr="00D63D97">
              <w:rPr>
                <w:rFonts w:ascii="Helvetica" w:eastAsia="Times New Roman" w:hAnsi="Helvetica" w:cs="Helvetica"/>
                <w:b/>
                <w:bCs/>
                <w:color w:val="747577"/>
                <w:sz w:val="21"/>
                <w:szCs w:val="21"/>
                <w:lang w:eastAsia="hr-HR"/>
              </w:rPr>
              <w:t>djeca</w:t>
            </w:r>
            <w:r w:rsidRPr="00D63D97">
              <w:rPr>
                <w:rFonts w:ascii="Helvetica" w:eastAsia="Times New Roman" w:hAnsi="Helvetica" w:cs="Helvetica"/>
                <w:color w:val="747577"/>
                <w:sz w:val="21"/>
                <w:szCs w:val="21"/>
                <w:lang w:eastAsia="hr-HR"/>
              </w:rPr>
              <w:t> smrtno stradalih branitelja iz Domovinskoga rata</w:t>
            </w:r>
          </w:p>
        </w:tc>
      </w:tr>
      <w:tr w:rsidR="00D63D97" w:rsidRPr="00D63D97" w:rsidTr="00D63D97">
        <w:trPr>
          <w:tblCellSpacing w:w="15" w:type="dxa"/>
        </w:trPr>
        <w:tc>
          <w:tcPr>
            <w:tcW w:w="0" w:type="auto"/>
            <w:tcBorders>
              <w:top w:val="nil"/>
              <w:left w:val="nil"/>
            </w:tcBorders>
            <w:shd w:val="clear" w:color="auto" w:fill="FFFFFF"/>
            <w:tcMar>
              <w:top w:w="0" w:type="dxa"/>
              <w:left w:w="0" w:type="dxa"/>
              <w:bottom w:w="0" w:type="dxa"/>
              <w:right w:w="0" w:type="dxa"/>
            </w:tcMar>
            <w:vAlign w:val="center"/>
            <w:hideMark/>
          </w:tcPr>
          <w:p w:rsidR="00D63D97" w:rsidRPr="00D63D97" w:rsidRDefault="00D63D97" w:rsidP="00D63D97">
            <w:pPr>
              <w:spacing w:after="0" w:line="321" w:lineRule="atLeast"/>
              <w:rPr>
                <w:rFonts w:ascii="Helvetica" w:eastAsia="Times New Roman" w:hAnsi="Helvetica" w:cs="Helvetica"/>
                <w:color w:val="747577"/>
                <w:sz w:val="21"/>
                <w:szCs w:val="21"/>
                <w:lang w:eastAsia="hr-HR"/>
              </w:rPr>
            </w:pPr>
            <w:r w:rsidRPr="00D63D97">
              <w:rPr>
                <w:rFonts w:ascii="Helvetica" w:eastAsia="Times New Roman" w:hAnsi="Helvetica" w:cs="Helvetica"/>
                <w:color w:val="747577"/>
                <w:sz w:val="21"/>
                <w:szCs w:val="21"/>
                <w:lang w:eastAsia="hr-HR"/>
              </w:rPr>
              <w:t>4. </w:t>
            </w:r>
            <w:r w:rsidRPr="00D63D97">
              <w:rPr>
                <w:rFonts w:ascii="Helvetica" w:eastAsia="Times New Roman" w:hAnsi="Helvetica" w:cs="Helvetica"/>
                <w:b/>
                <w:bCs/>
                <w:color w:val="747577"/>
                <w:sz w:val="21"/>
                <w:szCs w:val="21"/>
                <w:lang w:eastAsia="hr-HR"/>
              </w:rPr>
              <w:t>djeca</w:t>
            </w:r>
            <w:r w:rsidRPr="00D63D97">
              <w:rPr>
                <w:rFonts w:ascii="Helvetica" w:eastAsia="Times New Roman" w:hAnsi="Helvetica" w:cs="Helvetica"/>
                <w:color w:val="747577"/>
                <w:sz w:val="21"/>
                <w:szCs w:val="21"/>
                <w:lang w:eastAsia="hr-HR"/>
              </w:rPr>
              <w:t> stopostotnih hrvatskih ratnih vojnih invalida iz Domovinskoga rata prve skupine</w:t>
            </w:r>
          </w:p>
        </w:tc>
      </w:tr>
      <w:tr w:rsidR="00D63D97" w:rsidRPr="00D63D97" w:rsidTr="00D63D97">
        <w:trPr>
          <w:tblCellSpacing w:w="15" w:type="dxa"/>
        </w:trPr>
        <w:tc>
          <w:tcPr>
            <w:tcW w:w="0" w:type="auto"/>
            <w:tcBorders>
              <w:top w:val="nil"/>
              <w:left w:val="nil"/>
            </w:tcBorders>
            <w:shd w:val="clear" w:color="auto" w:fill="FFFFFF"/>
            <w:tcMar>
              <w:top w:w="0" w:type="dxa"/>
              <w:left w:w="0" w:type="dxa"/>
              <w:bottom w:w="0" w:type="dxa"/>
              <w:right w:w="0" w:type="dxa"/>
            </w:tcMar>
            <w:vAlign w:val="center"/>
            <w:hideMark/>
          </w:tcPr>
          <w:p w:rsidR="00D63D97" w:rsidRPr="00D63D97" w:rsidRDefault="00D63D97" w:rsidP="00D63D97">
            <w:pPr>
              <w:spacing w:after="0" w:line="321" w:lineRule="atLeast"/>
              <w:rPr>
                <w:rFonts w:ascii="Helvetica" w:eastAsia="Times New Roman" w:hAnsi="Helvetica" w:cs="Helvetica"/>
                <w:color w:val="747577"/>
                <w:sz w:val="21"/>
                <w:szCs w:val="21"/>
                <w:lang w:eastAsia="hr-HR"/>
              </w:rPr>
            </w:pPr>
            <w:r w:rsidRPr="00D63D97">
              <w:rPr>
                <w:rFonts w:ascii="Helvetica" w:eastAsia="Times New Roman" w:hAnsi="Helvetica" w:cs="Helvetica"/>
                <w:color w:val="747577"/>
                <w:sz w:val="21"/>
                <w:szCs w:val="21"/>
                <w:lang w:eastAsia="hr-HR"/>
              </w:rPr>
              <w:t>5. </w:t>
            </w:r>
            <w:r w:rsidRPr="00D63D97">
              <w:rPr>
                <w:rFonts w:ascii="Helvetica" w:eastAsia="Times New Roman" w:hAnsi="Helvetica" w:cs="Helvetica"/>
                <w:b/>
                <w:bCs/>
                <w:color w:val="747577"/>
                <w:sz w:val="21"/>
                <w:szCs w:val="21"/>
                <w:lang w:eastAsia="hr-HR"/>
              </w:rPr>
              <w:t>djeca</w:t>
            </w:r>
            <w:r w:rsidRPr="00D63D97">
              <w:rPr>
                <w:rFonts w:ascii="Helvetica" w:eastAsia="Times New Roman" w:hAnsi="Helvetica" w:cs="Helvetica"/>
                <w:color w:val="747577"/>
                <w:sz w:val="21"/>
                <w:szCs w:val="21"/>
                <w:lang w:eastAsia="hr-HR"/>
              </w:rPr>
              <w:t> zatočenih ili nestalih branitelja iz Domovinskoga rata (prema čl. 147 Zakona o pravima hrvatskih branitelja iz Domovinskog rata i članova njihovih obitelji, povratkom zatočenoga ili nestaloga hrvatskog branitelja prestaju se ostvarivati prava na toj osnovi).</w:t>
            </w:r>
          </w:p>
        </w:tc>
      </w:tr>
    </w:tbl>
    <w:p w:rsidR="00D63D97" w:rsidRPr="00D63D97" w:rsidRDefault="00D63D97" w:rsidP="00D63D97">
      <w:pPr>
        <w:spacing w:after="0" w:line="240" w:lineRule="auto"/>
        <w:rPr>
          <w:rFonts w:ascii="Times New Roman" w:eastAsia="Times New Roman" w:hAnsi="Times New Roman" w:cs="Times New Roman"/>
          <w:sz w:val="24"/>
          <w:szCs w:val="24"/>
          <w:lang w:eastAsia="hr-HR"/>
        </w:rPr>
      </w:pPr>
      <w:r w:rsidRPr="00D63D97">
        <w:rPr>
          <w:rFonts w:ascii="Helvetica" w:eastAsia="Times New Roman" w:hAnsi="Helvetica" w:cs="Helvetica"/>
          <w:color w:val="747577"/>
          <w:sz w:val="23"/>
          <w:szCs w:val="23"/>
          <w:lang w:eastAsia="hr-HR"/>
        </w:rPr>
        <w:br/>
      </w:r>
      <w:r w:rsidRPr="00D63D97">
        <w:rPr>
          <w:rFonts w:ascii="Helvetica" w:eastAsia="Times New Roman" w:hAnsi="Helvetica" w:cs="Helvetica"/>
          <w:b/>
          <w:bCs/>
          <w:color w:val="747577"/>
          <w:sz w:val="23"/>
          <w:szCs w:val="23"/>
          <w:shd w:val="clear" w:color="auto" w:fill="FFFFFF"/>
          <w:lang w:eastAsia="hr-HR"/>
        </w:rPr>
        <w:t>Važno:</w:t>
      </w:r>
      <w:r w:rsidRPr="00D63D97">
        <w:rPr>
          <w:rFonts w:ascii="Helvetica" w:eastAsia="Times New Roman" w:hAnsi="Helvetica" w:cs="Helvetica"/>
          <w:color w:val="747577"/>
          <w:sz w:val="23"/>
          <w:szCs w:val="23"/>
          <w:shd w:val="clear" w:color="auto" w:fill="FFFFFF"/>
          <w:lang w:eastAsia="hr-HR"/>
        </w:rPr>
        <w:t> kategorije kandidata pod rednim brojevima 1 i 2 odnose se na same hrvatske branitelje i hrvatske ratne vojne invalide, dok se kategorije pod rednim brojevima 3, 4 i 5 odnose na njihovu djecu. </w:t>
      </w:r>
      <w:r w:rsidRPr="00D63D97">
        <w:rPr>
          <w:rFonts w:ascii="Helvetica" w:eastAsia="Times New Roman" w:hAnsi="Helvetica" w:cs="Helvetica"/>
          <w:color w:val="747577"/>
          <w:sz w:val="23"/>
          <w:szCs w:val="23"/>
          <w:lang w:eastAsia="hr-HR"/>
        </w:rPr>
        <w:br/>
      </w:r>
    </w:p>
    <w:tbl>
      <w:tblPr>
        <w:tblW w:w="8100" w:type="dxa"/>
        <w:tblCellSpacing w:w="15" w:type="dxa"/>
        <w:tblBorders>
          <w:top w:val="single" w:sz="6" w:space="0" w:color="B7CC15"/>
          <w:left w:val="single" w:sz="6" w:space="0" w:color="B7CC15"/>
          <w:bottom w:val="single" w:sz="6" w:space="0" w:color="B7CC15"/>
          <w:right w:val="single" w:sz="6" w:space="0" w:color="B7CC15"/>
        </w:tblBorders>
        <w:shd w:val="clear" w:color="auto" w:fill="FFFFFF"/>
        <w:tblCellMar>
          <w:top w:w="75" w:type="dxa"/>
          <w:left w:w="75" w:type="dxa"/>
          <w:bottom w:w="75" w:type="dxa"/>
          <w:right w:w="75" w:type="dxa"/>
        </w:tblCellMar>
        <w:tblLook w:val="04A0" w:firstRow="1" w:lastRow="0" w:firstColumn="1" w:lastColumn="0" w:noHBand="0" w:noVBand="1"/>
      </w:tblPr>
      <w:tblGrid>
        <w:gridCol w:w="8100"/>
      </w:tblGrid>
      <w:tr w:rsidR="00D63D97" w:rsidRPr="00D63D97" w:rsidTr="00D63D97">
        <w:trPr>
          <w:tblCellSpacing w:w="15" w:type="dxa"/>
        </w:trPr>
        <w:tc>
          <w:tcPr>
            <w:tcW w:w="0" w:type="auto"/>
            <w:tcBorders>
              <w:top w:val="nil"/>
              <w:left w:val="nil"/>
            </w:tcBorders>
            <w:shd w:val="clear" w:color="auto" w:fill="FFFFFF"/>
            <w:tcMar>
              <w:top w:w="0" w:type="dxa"/>
              <w:left w:w="0" w:type="dxa"/>
              <w:bottom w:w="0" w:type="dxa"/>
              <w:right w:w="0" w:type="dxa"/>
            </w:tcMar>
            <w:vAlign w:val="center"/>
            <w:hideMark/>
          </w:tcPr>
          <w:p w:rsidR="00D63D97" w:rsidRPr="00D63D97" w:rsidRDefault="00D63D97" w:rsidP="00D63D97">
            <w:pPr>
              <w:spacing w:after="0" w:line="321" w:lineRule="atLeast"/>
              <w:rPr>
                <w:rFonts w:ascii="Helvetica" w:eastAsia="Times New Roman" w:hAnsi="Helvetica" w:cs="Helvetica"/>
                <w:color w:val="747577"/>
                <w:sz w:val="21"/>
                <w:szCs w:val="21"/>
                <w:lang w:eastAsia="hr-HR"/>
              </w:rPr>
            </w:pPr>
            <w:r w:rsidRPr="00D63D97">
              <w:rPr>
                <w:rFonts w:ascii="Helvetica" w:eastAsia="Times New Roman" w:hAnsi="Helvetica" w:cs="Helvetica"/>
                <w:color w:val="747577"/>
                <w:sz w:val="21"/>
                <w:szCs w:val="21"/>
                <w:lang w:eastAsia="hr-HR"/>
              </w:rPr>
              <w:t>Pojedina visoka učilišta pravo prednosti pri upisu na visoka učilišta daju</w:t>
            </w:r>
            <w:r w:rsidR="00B14737">
              <w:rPr>
                <w:rFonts w:ascii="Helvetica" w:eastAsia="Times New Roman" w:hAnsi="Helvetica" w:cs="Helvetica"/>
                <w:color w:val="747577"/>
                <w:sz w:val="21"/>
                <w:szCs w:val="21"/>
                <w:lang w:eastAsia="hr-HR"/>
              </w:rPr>
              <w:t xml:space="preserve"> </w:t>
            </w:r>
            <w:r w:rsidRPr="00D63D97">
              <w:rPr>
                <w:rFonts w:ascii="Helvetica" w:eastAsia="Times New Roman" w:hAnsi="Helvetica" w:cs="Helvetica"/>
                <w:b/>
                <w:bCs/>
                <w:color w:val="747577"/>
                <w:sz w:val="21"/>
                <w:szCs w:val="21"/>
                <w:lang w:eastAsia="hr-HR"/>
              </w:rPr>
              <w:t>kandidatima sa šezdesetpostotnim i većim tjelesnim oštećenjem (invaliditetom)</w:t>
            </w:r>
            <w:r w:rsidRPr="00D63D97">
              <w:rPr>
                <w:rFonts w:ascii="Helvetica" w:eastAsia="Times New Roman" w:hAnsi="Helvetica" w:cs="Helvetica"/>
                <w:color w:val="747577"/>
                <w:sz w:val="21"/>
                <w:szCs w:val="21"/>
                <w:lang w:eastAsia="hr-HR"/>
              </w:rPr>
              <w:t>, pod uvjetom da prijeđu razredbeni prag.</w:t>
            </w:r>
          </w:p>
        </w:tc>
      </w:tr>
    </w:tbl>
    <w:p w:rsidR="00D66DA4" w:rsidRDefault="00D63D97">
      <w:r w:rsidRPr="00D63D97">
        <w:rPr>
          <w:rFonts w:ascii="Helvetica" w:eastAsia="Times New Roman" w:hAnsi="Helvetica" w:cs="Helvetica"/>
          <w:color w:val="747577"/>
          <w:sz w:val="23"/>
          <w:szCs w:val="23"/>
          <w:lang w:eastAsia="hr-HR"/>
        </w:rPr>
        <w:br/>
      </w:r>
      <w:r w:rsidRPr="00D63D97">
        <w:rPr>
          <w:rFonts w:ascii="Helvetica" w:eastAsia="Times New Roman" w:hAnsi="Helvetica" w:cs="Helvetica"/>
          <w:color w:val="747577"/>
          <w:sz w:val="23"/>
          <w:szCs w:val="23"/>
          <w:shd w:val="clear" w:color="auto" w:fill="FFFFFF"/>
          <w:lang w:eastAsia="hr-HR"/>
        </w:rPr>
        <w:t>Navedenim kategorijama kandidata omogućuje se upis na studijske programe, bez obzira na položaj na rang-listi, ako polože sve ispite državne mature koji su obvezan uvjet za upis na pojedine studijske programe, prijeđu bodovni prag tamo gdje je postavljen te, tamo gdje je to potrebno, zadovolje preduvjet i polože dodatne provjere posebnih znanja, vještina i sposobnosti koje propisuje visoko učilište. </w:t>
      </w:r>
    </w:p>
    <w:sectPr w:rsidR="00D66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97"/>
    <w:rsid w:val="00065818"/>
    <w:rsid w:val="00B14737"/>
    <w:rsid w:val="00B543A7"/>
    <w:rsid w:val="00D12361"/>
    <w:rsid w:val="00D63D97"/>
    <w:rsid w:val="00D66DA4"/>
    <w:rsid w:val="00E35C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573DF-3992-4EF4-84DC-F5FC9A4C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Profesor</cp:lastModifiedBy>
  <cp:revision>2</cp:revision>
  <dcterms:created xsi:type="dcterms:W3CDTF">2018-06-20T10:19:00Z</dcterms:created>
  <dcterms:modified xsi:type="dcterms:W3CDTF">2018-06-20T10:19:00Z</dcterms:modified>
</cp:coreProperties>
</file>